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sz w:val="20"/>
          <w:szCs w:val="20"/>
          <w:vertAlign w:val="baseline"/>
        </w:rPr>
      </w:pPr>
      <w:r w:rsidDel="00000000" w:rsidR="00000000" w:rsidRPr="00000000">
        <w:rPr>
          <w:rtl w:val="0"/>
        </w:rPr>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jc w:val="center"/>
        <w:rPr>
          <w:b w:val="1"/>
        </w:rPr>
      </w:pP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jc w:val="center"/>
        <w:rPr>
          <w:b w:val="1"/>
        </w:rPr>
      </w:pPr>
      <w:r w:rsidDel="00000000" w:rsidR="00000000" w:rsidRPr="00000000">
        <w:rPr>
          <w:b w:val="1"/>
          <w:vertAlign w:val="baseline"/>
          <w:rtl w:val="0"/>
        </w:rPr>
        <w:t xml:space="preserve"> </w:t>
      </w:r>
      <w:r w:rsidDel="00000000" w:rsidR="00000000" w:rsidRPr="00000000">
        <w:rPr>
          <w:b w:val="1"/>
          <w:rtl w:val="0"/>
        </w:rPr>
        <w:t xml:space="preserve">Impacto económico de las intervenciones farmacéuticas realizadas a partir de la estandarización de procedimientos operativos.</w:t>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jc w:val="center"/>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jc w:val="center"/>
        <w:rPr>
          <w:b w:val="0"/>
          <w:color w:val="ff0000"/>
          <w:sz w:val="22"/>
          <w:szCs w:val="22"/>
          <w:vertAlign w:val="baseline"/>
        </w:rPr>
      </w:pPr>
      <w:r w:rsidDel="00000000" w:rsidR="00000000" w:rsidRPr="00000000">
        <w:rPr>
          <w:b w:val="1"/>
          <w:sz w:val="22"/>
          <w:szCs w:val="22"/>
          <w:u w:val="single"/>
          <w:vertAlign w:val="baseline"/>
          <w:rtl w:val="0"/>
        </w:rPr>
        <w:t xml:space="preserve">Autores</w:t>
      </w: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jc w:val="center"/>
        <w:rPr>
          <w:b w:val="0"/>
          <w:sz w:val="20"/>
          <w:szCs w:val="20"/>
          <w:vertAlign w:val="baseline"/>
        </w:rPr>
      </w:pPr>
      <w:r w:rsidDel="00000000" w:rsidR="00000000" w:rsidRPr="00000000">
        <w:rPr>
          <w:sz w:val="20"/>
          <w:szCs w:val="20"/>
          <w:rtl w:val="0"/>
        </w:rPr>
        <w:t xml:space="preserve">Farm. Karina Rainone, Farm. Pablo Nastri, Farm. Juana Rendano, Farm. Flavia Nitto, Farm. Rocío Sposito, Farm. Selene Giraldi.</w:t>
      </w:r>
      <w:r w:rsidDel="00000000" w:rsidR="00000000" w:rsidRPr="00000000">
        <w:rPr>
          <w:rtl w:val="0"/>
        </w:rPr>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jc w:val="center"/>
        <w:rPr>
          <w:b w:val="0"/>
          <w:sz w:val="20"/>
          <w:szCs w:val="20"/>
          <w:vertAlign w:val="baseline"/>
        </w:rPr>
      </w:pP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jc w:val="center"/>
        <w:rPr>
          <w:b w:val="0"/>
          <w:sz w:val="22"/>
          <w:szCs w:val="22"/>
          <w:vertAlign w:val="baseline"/>
        </w:rPr>
      </w:pPr>
      <w:r w:rsidDel="00000000" w:rsidR="00000000" w:rsidRPr="00000000">
        <w:rPr>
          <w:b w:val="1"/>
          <w:sz w:val="22"/>
          <w:szCs w:val="22"/>
          <w:vertAlign w:val="baseline"/>
          <w:rtl w:val="0"/>
        </w:rPr>
        <w:t xml:space="preserve">Servicio: F</w:t>
      </w:r>
      <w:r w:rsidDel="00000000" w:rsidR="00000000" w:rsidRPr="00000000">
        <w:rPr>
          <w:b w:val="1"/>
          <w:sz w:val="22"/>
          <w:szCs w:val="22"/>
          <w:rtl w:val="0"/>
        </w:rPr>
        <w:t xml:space="preserve">armacia Interna</w:t>
      </w:r>
      <w:r w:rsidDel="00000000" w:rsidR="00000000" w:rsidRPr="00000000">
        <w:rPr>
          <w:rtl w:val="0"/>
        </w:rPr>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jc w:val="center"/>
        <w:rPr>
          <w:b w:val="0"/>
          <w:sz w:val="22"/>
          <w:szCs w:val="22"/>
          <w:vertAlign w:val="baseline"/>
        </w:rPr>
      </w:pPr>
      <w:r w:rsidDel="00000000" w:rsidR="00000000" w:rsidRPr="00000000">
        <w:rPr>
          <w:rtl w:val="0"/>
        </w:rPr>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rPr>
          <w:b w:val="0"/>
          <w:sz w:val="22"/>
          <w:szCs w:val="22"/>
          <w:vertAlign w:val="baseline"/>
        </w:rPr>
      </w:pPr>
      <w:r w:rsidDel="00000000" w:rsidR="00000000" w:rsidRPr="00000000">
        <w:rPr>
          <w:b w:val="1"/>
          <w:sz w:val="22"/>
          <w:szCs w:val="22"/>
          <w:vertAlign w:val="baseline"/>
          <w:rtl w:val="0"/>
        </w:rPr>
        <w:t xml:space="preserve">Correo electrónico: </w:t>
      </w:r>
      <w:r w:rsidDel="00000000" w:rsidR="00000000" w:rsidRPr="00000000">
        <w:rPr>
          <w:b w:val="1"/>
          <w:sz w:val="22"/>
          <w:szCs w:val="22"/>
          <w:rtl w:val="0"/>
        </w:rPr>
        <w:t xml:space="preserve">karinarainone@gmail.com</w:t>
      </w:r>
      <w:r w:rsidDel="00000000" w:rsidR="00000000" w:rsidRPr="00000000">
        <w:rPr>
          <w:b w:val="1"/>
          <w:sz w:val="22"/>
          <w:szCs w:val="22"/>
          <w:vertAlign w:val="baseline"/>
          <w:rtl w:val="0"/>
        </w:rPr>
        <w:t xml:space="preserve">                         </w:t>
        <w:tab/>
        <w:tab/>
        <w:t xml:space="preserve">Interno: 5663 </w:t>
      </w:r>
      <w:r w:rsidDel="00000000" w:rsidR="00000000" w:rsidRPr="00000000">
        <w:rPr>
          <w:rtl w:val="0"/>
        </w:rPr>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jc w:val="center"/>
        <w:rPr>
          <w:b w:val="0"/>
          <w:sz w:val="22"/>
          <w:szCs w:val="22"/>
          <w:vertAlign w:val="baseline"/>
        </w:rPr>
      </w:pP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jc w:val="both"/>
        <w:rPr>
          <w:color w:val="000000"/>
          <w:sz w:val="22"/>
          <w:szCs w:val="22"/>
          <w:vertAlign w:val="baseline"/>
        </w:rPr>
      </w:pPr>
      <w:r w:rsidDel="00000000" w:rsidR="00000000" w:rsidRPr="00000000">
        <w:rPr>
          <w:b w:val="1"/>
          <w:color w:val="000000"/>
          <w:sz w:val="22"/>
          <w:szCs w:val="22"/>
          <w:vertAlign w:val="baseline"/>
          <w:rtl w:val="0"/>
        </w:rPr>
        <w:t xml:space="preserve">Introducción</w:t>
      </w:r>
      <w:r w:rsidDel="00000000" w:rsidR="00000000" w:rsidRPr="00000000">
        <w:rPr>
          <w:color w:val="000000"/>
          <w:sz w:val="22"/>
          <w:szCs w:val="22"/>
          <w:vertAlign w:val="baseline"/>
          <w:rtl w:val="0"/>
        </w:rPr>
        <w:t xml:space="preserve">:</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jc w:val="both"/>
        <w:rPr>
          <w:sz w:val="22"/>
          <w:szCs w:val="22"/>
        </w:rPr>
      </w:pPr>
      <w:r w:rsidDel="00000000" w:rsidR="00000000" w:rsidRPr="00000000">
        <w:rPr>
          <w:sz w:val="22"/>
          <w:szCs w:val="22"/>
          <w:rtl w:val="0"/>
        </w:rPr>
        <w:t xml:space="preserve">En el ciclo de utilización de medicamentos, el farmacéutico debe asegurar que el paciente reciba la medicación  adecuada para su enfermedad, en la dosis correcta y en el tiempo necesario. Con el fin de garantizar dicha afirmación, desde Farmacia Interna (FI) se comenzaron a implementar y adecuar  Procedimientos Operativos Estandarizados (POE).</w:t>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jc w:val="both"/>
        <w:rPr>
          <w:sz w:val="22"/>
          <w:szCs w:val="22"/>
        </w:rPr>
      </w:pPr>
      <w:r w:rsidDel="00000000" w:rsidR="00000000" w:rsidRPr="00000000">
        <w:rPr>
          <w:sz w:val="22"/>
          <w:szCs w:val="22"/>
          <w:rtl w:val="0"/>
        </w:rPr>
        <w:t xml:space="preserve">Los POE “Dispensa de Medicamentos” de unidad cerrada y departamento de emergencias, establecen los alcances y tareas del farmacéutico en relación al labor interdisciplinario. El POE “Devoluciones de Especialidades Medicinales” establece bajo qué metodología los servicios del hospital deben devolver a FI aquella medicación excedente.</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jc w:val="both"/>
        <w:rPr>
          <w:b w:val="0"/>
          <w:color w:val="000000"/>
          <w:sz w:val="22"/>
          <w:szCs w:val="22"/>
          <w:vertAlign w:val="baseline"/>
        </w:rPr>
      </w:pPr>
      <w:r w:rsidDel="00000000" w:rsidR="00000000" w:rsidRPr="00000000">
        <w:rPr>
          <w:b w:val="1"/>
          <w:color w:val="000000"/>
          <w:sz w:val="22"/>
          <w:szCs w:val="22"/>
          <w:vertAlign w:val="baseline"/>
          <w:rtl w:val="0"/>
        </w:rPr>
        <w:t xml:space="preserve">Objetivos:</w:t>
      </w: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jc w:val="both"/>
        <w:rPr>
          <w:sz w:val="22"/>
          <w:szCs w:val="22"/>
        </w:rPr>
      </w:pPr>
      <w:r w:rsidDel="00000000" w:rsidR="00000000" w:rsidRPr="00000000">
        <w:rPr>
          <w:sz w:val="22"/>
          <w:szCs w:val="22"/>
          <w:rtl w:val="0"/>
        </w:rPr>
        <w:t xml:space="preserve">El objetivo del presente trabajo es evaluar el impacto económico generado por la implementación del POE “Devoluciones de Especialidad Medicinales” en dos escenarios: salas que cuentan con la intervención de un farmacéutico asistencial según POE y salas de internación que aún no cuentan con un farmacéutico y realizan las devoluciones a voluntad.   </w:t>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jc w:val="both"/>
        <w:rPr>
          <w:sz w:val="22"/>
          <w:szCs w:val="22"/>
        </w:rPr>
      </w:pPr>
      <w:r w:rsidDel="00000000" w:rsidR="00000000" w:rsidRPr="00000000">
        <w:rPr>
          <w:b w:val="1"/>
          <w:color w:val="000000"/>
          <w:sz w:val="22"/>
          <w:szCs w:val="22"/>
          <w:vertAlign w:val="baseline"/>
          <w:rtl w:val="0"/>
        </w:rPr>
        <w:t xml:space="preserve">Material y método</w:t>
      </w:r>
      <w:r w:rsidDel="00000000" w:rsidR="00000000" w:rsidRPr="00000000">
        <w:rPr>
          <w:color w:val="000000"/>
          <w:sz w:val="22"/>
          <w:szCs w:val="22"/>
          <w:vertAlign w:val="baseline"/>
          <w:rtl w:val="0"/>
        </w:rPr>
        <w:t xml:space="preserve">: </w:t>
        <w:br w:type="textWrapping"/>
        <w:t xml:space="preserve">Estudio retrospectiv</w:t>
      </w:r>
      <w:r w:rsidDel="00000000" w:rsidR="00000000" w:rsidRPr="00000000">
        <w:rPr>
          <w:sz w:val="22"/>
          <w:szCs w:val="22"/>
          <w:rtl w:val="0"/>
        </w:rPr>
        <w:t xml:space="preserve">o, observacional, descriptivo desarrollado en un hospital. Se registraron todas las devoluciones de especialidades medicinales realizadas durante el periodo de 01-06-2023 a 31-07-2023. Los datos de especialidad medicinal, cantidad, fecha y servicio proveniente fueron obtenidos a través de las planillas de devolución. Se dividieron los servicios en dos cohortes: aquellos que cuentan con intervenciones farmacéuticas según POE: Unidad de Emergencias (UE), Unidad Coronaria (UCO) y Unidad de Terapia (UTI) comparado con servicios donde aún no se realizan intervenciones de manera estandarizada.</w:t>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jc w:val="both"/>
        <w:rPr>
          <w:sz w:val="22"/>
          <w:szCs w:val="22"/>
        </w:rPr>
      </w:pPr>
      <w:r w:rsidDel="00000000" w:rsidR="00000000" w:rsidRPr="00000000">
        <w:rPr>
          <w:sz w:val="22"/>
          <w:szCs w:val="22"/>
          <w:rtl w:val="0"/>
        </w:rPr>
        <w:t xml:space="preserve">Se calcularon y compararon los costes farmacológicos derivados de la recuperación por devoluciones a precio estimado de compra en pesos argentinos ($) a la fecha de corte del estudio.</w:t>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jc w:val="both"/>
        <w:rPr>
          <w:b w:val="0"/>
          <w:color w:val="000000"/>
          <w:sz w:val="22"/>
          <w:szCs w:val="22"/>
          <w:vertAlign w:val="baseline"/>
        </w:rPr>
      </w:pPr>
      <w:r w:rsidDel="00000000" w:rsidR="00000000" w:rsidRPr="00000000">
        <w:rPr>
          <w:b w:val="1"/>
          <w:color w:val="000000"/>
          <w:sz w:val="22"/>
          <w:szCs w:val="22"/>
          <w:vertAlign w:val="baseline"/>
          <w:rtl w:val="0"/>
        </w:rPr>
        <w:t xml:space="preserve">Resultados:</w:t>
      </w: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jc w:val="both"/>
        <w:rPr>
          <w:sz w:val="22"/>
          <w:szCs w:val="22"/>
        </w:rPr>
      </w:pPr>
      <w:r w:rsidDel="00000000" w:rsidR="00000000" w:rsidRPr="00000000">
        <w:rPr>
          <w:sz w:val="22"/>
          <w:szCs w:val="22"/>
          <w:rtl w:val="0"/>
        </w:rPr>
        <w:t xml:space="preserve">Durante el bimestre de evaluación, el total de las devoluciones de todos los servicios del hospital representaron un valor de $40.951.798,74. En aquellos servicios que cuentan con intervención farmacéutica se recolectaron un total de devoluciones estimado en $36.089.307,75, todo el resto de los servicios del hospital recolectó un total de $4.862.491,08.</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jc w:val="both"/>
        <w:rPr>
          <w:sz w:val="22"/>
          <w:szCs w:val="22"/>
        </w:rPr>
      </w:pPr>
      <w:r w:rsidDel="00000000" w:rsidR="00000000" w:rsidRPr="00000000">
        <w:rPr>
          <w:sz w:val="22"/>
          <w:szCs w:val="22"/>
          <w:rtl w:val="0"/>
        </w:rPr>
        <w:t xml:space="preserve">Correspondiendo a UCO $5.677.714, a UE $2.213.107, a UTI $19.870.185, al Piso 8vo A y B $1.546.892, a Cirugía $510.027, a Dirección $6.189,2, a Hematología $232.844, a IUFA $2.652, a Neonatología $232.844, a Pediatría $479.779, a Traumatología y Ortopedia “B” $134.658, a Unidad de cuidados intermedios pediátricos $22.380 y al resto de los servicios $563.022.</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jc w:val="both"/>
        <w:rPr>
          <w:b w:val="1"/>
          <w:color w:val="000000"/>
          <w:sz w:val="22"/>
          <w:szCs w:val="22"/>
          <w:vertAlign w:val="baseline"/>
        </w:rPr>
      </w:pPr>
      <w:r w:rsidDel="00000000" w:rsidR="00000000" w:rsidRPr="00000000">
        <w:rPr>
          <w:b w:val="1"/>
          <w:color w:val="000000"/>
          <w:sz w:val="22"/>
          <w:szCs w:val="22"/>
          <w:vertAlign w:val="baseline"/>
          <w:rtl w:val="0"/>
        </w:rPr>
        <w:t xml:space="preserve">Conclusiones:</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jc w:val="both"/>
        <w:rPr>
          <w:sz w:val="22"/>
          <w:szCs w:val="22"/>
        </w:rPr>
      </w:pPr>
      <w:r w:rsidDel="00000000" w:rsidR="00000000" w:rsidRPr="00000000">
        <w:rPr>
          <w:sz w:val="22"/>
          <w:szCs w:val="22"/>
          <w:rtl w:val="0"/>
        </w:rPr>
        <w:t xml:space="preserve">Al evaluar el impacto económico generado por la implementación de los procedimientos se observó que la sumatoria de devoluciones de la cohorte correspondiente a todos los servicios, donde no hay intervención farmacéutica, fueron significativamente menores a los que contaron con la presencia del profesional farmacéutico. </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jc w:val="both"/>
        <w:rPr>
          <w:sz w:val="22"/>
          <w:szCs w:val="22"/>
        </w:rPr>
      </w:pPr>
      <w:r w:rsidDel="00000000" w:rsidR="00000000" w:rsidRPr="00000000">
        <w:rPr>
          <w:sz w:val="22"/>
          <w:szCs w:val="22"/>
          <w:rtl w:val="0"/>
        </w:rPr>
        <w:t xml:space="preserve">Como limitantes del presente estudio, el recupero económico sólo representó el proviniente por las devoluciones, pero no se tuvo en cuenta el resto de las intervenciones farmacéuticas, representando estas un gran capital para la optimización de los recursos. Asimismo, los precios fueron representativos para la fecha de corte del estudio, donde se recolectaron, no se tuvo en cuenta la inflación actual ni la proyección de la misma.</w:t>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jc w:val="both"/>
        <w:rPr>
          <w:sz w:val="22"/>
          <w:szCs w:val="22"/>
        </w:rPr>
      </w:pPr>
      <w:r w:rsidDel="00000000" w:rsidR="00000000" w:rsidRPr="00000000">
        <w:rPr>
          <w:sz w:val="22"/>
          <w:szCs w:val="22"/>
          <w:rtl w:val="0"/>
        </w:rPr>
        <w:t xml:space="preserve">Con este trabajo se esperó sentar un precedente para realizar futuras intervenciones y poder efectuar evaluaciones periódicas  de los POE.</w:t>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jc w:val="both"/>
        <w:rPr>
          <w:color w:val="000000"/>
          <w:sz w:val="20"/>
          <w:szCs w:val="20"/>
          <w:vertAlign w:val="baseline"/>
        </w:rPr>
      </w:pPr>
      <w:r w:rsidDel="00000000" w:rsidR="00000000" w:rsidRPr="00000000">
        <w:rPr>
          <w:sz w:val="22"/>
          <w:szCs w:val="22"/>
          <w:rtl w:val="0"/>
        </w:rPr>
        <w:t xml:space="preserve">Los recursos que pueden ser destinados al gasto farmacéutico son limitados dado que las necesidades sanitarias de nuestra población son cada vez mayores, por lo que es necesario racionalizar su consumo y lograr una mejor redistribución de los recursos existentes. </w:t>
      </w:r>
      <w:r w:rsidDel="00000000" w:rsidR="00000000" w:rsidRPr="00000000">
        <w:rPr>
          <w:rtl w:val="0"/>
        </w:rPr>
      </w:r>
    </w:p>
    <w:sectPr>
      <w:footerReference r:id="rId7" w:type="default"/>
      <w:footerReference r:id="rId8" w:type="even"/>
      <w:pgSz w:h="16840" w:w="11907" w:orient="portrait"/>
      <w:pgMar w:bottom="567" w:top="567"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Piedepágina">
    <w:name w:val="Pie de página"/>
    <w:basedOn w:val="Normal"/>
    <w:next w:val="Piedepágina"/>
    <w:autoRedefine w:val="0"/>
    <w:hidden w:val="0"/>
    <w:qFormat w:val="0"/>
    <w:pPr>
      <w:suppressAutoHyphens w:val="1"/>
      <w:spacing w:line="1" w:lineRule="atLeast"/>
      <w:ind w:leftChars="-1" w:rightChars="0" w:firstLineChars="-1"/>
      <w:textDirection w:val="btLr"/>
      <w:textAlignment w:val="top"/>
      <w:outlineLvl w:val="0"/>
    </w:pPr>
    <w:rPr>
      <w:rFonts w:ascii="Arial MT" w:hAnsi="Arial MT"/>
      <w:w w:val="100"/>
      <w:position w:val="-1"/>
      <w:sz w:val="24"/>
      <w:szCs w:val="24"/>
      <w:effect w:val="none"/>
      <w:vertAlign w:val="baseline"/>
      <w:cs w:val="0"/>
      <w:em w:val="none"/>
      <w:lang w:bidi="ar-SA" w:eastAsia="en-US" w:val="en-US"/>
    </w:rPr>
  </w:style>
  <w:style w:type="paragraph" w:styleId="Textoindependiente2">
    <w:name w:val="Texto independiente 2"/>
    <w:basedOn w:val="Normal"/>
    <w:next w:val="Textoindependiente2"/>
    <w:autoRedefine w:val="0"/>
    <w:hidden w:val="0"/>
    <w:qFormat w:val="0"/>
    <w:pPr>
      <w:suppressAutoHyphens w:val="1"/>
      <w:spacing w:line="1" w:lineRule="atLeast"/>
      <w:ind w:leftChars="-1" w:rightChars="0"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en-US" w:val="en-US"/>
    </w:rPr>
  </w:style>
  <w:style w:type="paragraph" w:styleId="Textosinformato">
    <w:name w:val="Texto sin formato"/>
    <w:basedOn w:val="Normal"/>
    <w:next w:val="Textosinformato"/>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paragraph" w:styleId="head">
    <w:name w:val="head"/>
    <w:basedOn w:val="Normal"/>
    <w:next w:val="head"/>
    <w:autoRedefine w:val="0"/>
    <w:hidden w:val="0"/>
    <w:qFormat w:val="0"/>
    <w:pPr>
      <w:shd w:color="auto" w:fill="ffffff" w:val="clear"/>
      <w:suppressAutoHyphens w:val="1"/>
      <w:spacing w:after="100" w:afterAutospacing="1" w:before="150" w:line="1" w:lineRule="atLeast"/>
      <w:ind w:leftChars="-1" w:rightChars="0" w:firstLineChars="-1"/>
      <w:textDirection w:val="btLr"/>
      <w:textAlignment w:val="top"/>
      <w:outlineLvl w:val="0"/>
    </w:pPr>
    <w:rPr>
      <w:rFonts w:ascii="Arial" w:cs="Arial" w:hAnsi="Arial"/>
      <w:b w:val="1"/>
      <w:bCs w:val="1"/>
      <w:color w:val="ff6633"/>
      <w:w w:val="100"/>
      <w:position w:val="-1"/>
      <w:sz w:val="21"/>
      <w:szCs w:val="21"/>
      <w:effect w:val="none"/>
      <w:vertAlign w:val="baseline"/>
      <w:cs w:val="0"/>
      <w:em w:val="none"/>
      <w:lang w:bidi="ar-SA" w:eastAsia="en-US" w:val="en-US"/>
    </w:rPr>
  </w:style>
  <w:style w:type="paragraph" w:styleId="blanklinetitleicmm">
    <w:name w:val="blanklinetitleicmm"/>
    <w:basedOn w:val="Normal"/>
    <w:next w:val="blanklinetitleicmm"/>
    <w:autoRedefine w:val="0"/>
    <w:hidden w:val="0"/>
    <w:qFormat w:val="0"/>
    <w:pPr>
      <w:suppressAutoHyphens w:val="1"/>
      <w:autoSpaceDE w:val="0"/>
      <w:autoSpaceDN w:val="0"/>
      <w:spacing w:line="320" w:lineRule="atLeast"/>
      <w:ind w:leftChars="-1" w:rightChars="0" w:firstLineChars="-1"/>
      <w:textDirection w:val="btLr"/>
      <w:textAlignment w:val="top"/>
      <w:outlineLvl w:val="0"/>
    </w:pPr>
    <w:rPr>
      <w:i w:val="1"/>
      <w:iCs w:val="1"/>
      <w:color w:val="808080"/>
      <w:w w:val="100"/>
      <w:position w:val="-1"/>
      <w:sz w:val="32"/>
      <w:szCs w:val="32"/>
      <w:effect w:val="none"/>
      <w:vertAlign w:val="baseline"/>
      <w:cs w:val="0"/>
      <w:em w:val="none"/>
      <w:lang w:bidi="ar-SA" w:eastAsia="en-US" w:val="en-US"/>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paragraph" w:styleId="Encabezado">
    <w:name w:val="Encabezado"/>
    <w:basedOn w:val="Normal"/>
    <w:next w:val="Encabezado"/>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paragraph" w:styleId="Textodeglobo">
    <w:name w:val="Texto de globo"/>
    <w:basedOn w:val="Normal"/>
    <w:next w:val="Textodeglob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Mapadeldocumento">
    <w:name w:val="Mapa del documento"/>
    <w:basedOn w:val="Normal"/>
    <w:next w:val="Mapadeldocumento"/>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sz w:val="24"/>
      <w:szCs w:val="24"/>
      <w:effect w:val="none"/>
      <w:vertAlign w:val="baseline"/>
      <w:cs w:val="0"/>
      <w:em w:val="none"/>
      <w:lang w:bidi="ar-SA" w:eastAsia="en-US" w:val="en-US"/>
    </w:rPr>
  </w:style>
  <w:style w:type="paragraph" w:styleId="Párrafodelista">
    <w:name w:val="Párrafo de lista"/>
    <w:basedOn w:val="Normal"/>
    <w:next w:val="Párrafodelista"/>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hjPbzpm9SQPJVfEeGiYxEpoJzw==">CgMxLjA4AHIhMUU0R0RxMlF2UTBWQ1pyQXZJSmpQMkNSemJSQXFwZGMt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2023-08-14T21:47:00Z</dcterms:created>
  <dc:creator>Genzyme</dc:creator>
</cp:coreProperties>
</file>